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2et92p0"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B">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5">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6">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7">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8">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9">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A">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w:t>
            </w:r>
            <w:r w:rsidDel="00000000" w:rsidR="00000000" w:rsidRPr="00000000">
              <w:rPr>
                <w:rFonts w:ascii="Arial" w:cs="Arial" w:eastAsia="Arial" w:hAnsi="Arial"/>
                <w:sz w:val="24"/>
                <w:szCs w:val="24"/>
                <w:rtl w:val="0"/>
              </w:rPr>
              <w:t xml:space="preserve">subcategories</w:t>
            </w:r>
            <w:r w:rsidDel="00000000" w:rsidR="00000000" w:rsidRPr="00000000">
              <w:rPr>
                <w:rFonts w:ascii="Arial" w:cs="Arial" w:eastAsia="Arial" w:hAnsi="Arial"/>
                <w:color w:val="000000"/>
                <w:sz w:val="24"/>
                <w:szCs w:val="24"/>
                <w:rtl w:val="0"/>
              </w:rPr>
              <w:t xml:space="preserve"> of the Central Government classification of the Public Sector Classification Guide, as published and amended from time to time by the Office for National Statistics:</w:t>
            </w:r>
          </w:p>
          <w:p w:rsidR="00000000" w:rsidDel="00000000" w:rsidP="00000000" w:rsidRDefault="00000000" w:rsidRPr="00000000" w14:paraId="00000065">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6">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7">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8">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F">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0">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1">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2">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3">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4">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5">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accommodation;</w:t>
            </w:r>
          </w:p>
          <w:p w:rsidR="00000000" w:rsidDel="00000000" w:rsidP="00000000" w:rsidRDefault="00000000" w:rsidRPr="00000000" w14:paraId="00000096">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IT equipment and tools reasonably necessary to provide the Deliverables (but not including items included within limb (b) below); and</w:t>
            </w:r>
          </w:p>
          <w:p w:rsidR="00000000" w:rsidDel="00000000" w:rsidP="00000000" w:rsidRDefault="00000000" w:rsidRPr="00000000" w14:paraId="00000097">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8">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9">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A">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C">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D">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F">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0">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1">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2">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5">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6">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7">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8">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9">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E9">
            <w:pPr>
              <w:numPr>
                <w:ilvl w:val="0"/>
                <w:numId w:val="18"/>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EA">
            <w:pPr>
              <w:numPr>
                <w:ilvl w:val="0"/>
                <w:numId w:val="18"/>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B">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EC">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ED">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EE">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EF">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0">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1">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2">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3">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840.0" w:type="dxa"/>
        <w:jc w:val="left"/>
        <w:tblInd w:w="-1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5"/>
        <w:gridCol w:w="7335"/>
        <w:tblGridChange w:id="0">
          <w:tblGrid>
            <w:gridCol w:w="2505"/>
            <w:gridCol w:w="7335"/>
          </w:tblGrid>
        </w:tblGridChange>
      </w:tblGrid>
      <w:tr>
        <w:trPr>
          <w:cantSplit w:val="0"/>
          <w:tblHeader w:val="0"/>
        </w:trPr>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5">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6">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7">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8">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5">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6">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1">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2">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D">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E">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3F">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0">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1">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5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2">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3">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4">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5">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6">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7">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9">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8A">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8B">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9">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A">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9E">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9F">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0">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4">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5">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6">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7">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8">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9">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AA">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AB">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AC">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AD">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AE">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AF">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B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B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w:t>
            </w:r>
            <w:r w:rsidDel="00000000" w:rsidR="00000000" w:rsidRPr="00000000">
              <w:rPr>
                <w:rFonts w:ascii="Arial" w:cs="Arial" w:eastAsia="Arial" w:hAnsi="Arial"/>
                <w:sz w:val="24"/>
                <w:szCs w:val="24"/>
                <w:rtl w:val="0"/>
              </w:rPr>
              <w:t xml:space="preserve">in the</w:t>
            </w:r>
            <w:r w:rsidDel="00000000" w:rsidR="00000000" w:rsidRPr="00000000">
              <w:rPr>
                <w:rFonts w:ascii="Arial" w:cs="Arial" w:eastAsia="Arial" w:hAnsi="Arial"/>
                <w:color w:val="000000"/>
                <w:sz w:val="24"/>
                <w:szCs w:val="24"/>
                <w:rtl w:val="0"/>
              </w:rPr>
              <w:t xml:space="preserv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5">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6">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7">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D8">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D9">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DA">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DB">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DC">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DD">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w:t>
            </w:r>
            <w:r w:rsidDel="00000000" w:rsidR="00000000" w:rsidRPr="00000000">
              <w:rPr>
                <w:rFonts w:ascii="Arial" w:cs="Arial" w:eastAsia="Arial" w:hAnsi="Arial"/>
                <w:sz w:val="24"/>
                <w:szCs w:val="24"/>
                <w:rtl w:val="0"/>
              </w:rPr>
              <w:t xml:space="preserve">pseudonymisation</w:t>
            </w:r>
            <w:r w:rsidDel="00000000" w:rsidR="00000000" w:rsidRPr="00000000">
              <w:rPr>
                <w:rFonts w:ascii="Arial" w:cs="Arial" w:eastAsia="Arial" w:hAnsi="Arial"/>
                <w:color w:val="000000"/>
                <w:sz w:val="24"/>
                <w:szCs w:val="24"/>
                <w:rtl w:val="0"/>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6">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7">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E8">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EF">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w:t>
            </w:r>
            <w:r w:rsidDel="00000000" w:rsidR="00000000" w:rsidRPr="00000000">
              <w:rPr>
                <w:rFonts w:ascii="Arial" w:cs="Arial" w:eastAsia="Arial" w:hAnsi="Arial"/>
                <w:sz w:val="24"/>
                <w:szCs w:val="24"/>
                <w:rtl w:val="0"/>
              </w:rPr>
              <w:t xml:space="preserve">agreed</w:t>
            </w:r>
            <w:r w:rsidDel="00000000" w:rsidR="00000000" w:rsidRPr="00000000">
              <w:rPr>
                <w:rFonts w:ascii="Arial" w:cs="Arial" w:eastAsia="Arial" w:hAnsi="Arial"/>
                <w:color w:val="000000"/>
                <w:sz w:val="24"/>
                <w:szCs w:val="24"/>
                <w:rtl w:val="0"/>
              </w:rPr>
              <w:t xml:space="preserve"> in advance in writing; and</w:t>
            </w:r>
          </w:p>
          <w:p w:rsidR="00000000" w:rsidDel="00000000" w:rsidP="00000000" w:rsidRDefault="00000000" w:rsidRPr="00000000" w14:paraId="000001F0">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4">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5">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1F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1F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1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1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1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29">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2A">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2B">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2C">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2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5">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6">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37">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3">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44">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45">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4E">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4F">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0">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5A">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5B">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5C">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5D">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65">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66">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6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6E">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6F">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0">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1">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86">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B">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MxROYKVPkq3yxeXvTET8++oJOQ==">AMUW2mV43Xg+ZZtBB7H4n+YXEBwrGzKIxKR6qz1aztdiObulQZRpZslWjkBzl41CbIojKI1gski8X4Xkwrn3XZaT+PhpjjVEhiwPuVqnALDjxqsDmFAYJ0w3lkHmmi7tKLNClk86eaHX9q7CbhoTGXUFSHTr4vcZbfBNG3eIRK/vzbv851Q9G98RZ1Bozcm+eR49xeUZ2riA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2021-05-26T09:06:00Z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